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Fuzzy Bubbles" w:cs="Fuzzy Bubbles" w:eastAsia="Fuzzy Bubbles" w:hAnsi="Fuzzy Bubble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We are looking forward to a fun-filled and successful 4th-grade year!  As we try to prepare for next school year, we are requesting each student bring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the following supplies in September: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 packs of #2 pencils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 pack of colored wipe-off markers thin tip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 pack post- it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a pack of multi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-colored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highlighters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2 jumbo glue sticks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1-2 boxes of crayons, colored pencils, and/or markers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  <w:sz w:val="32"/>
          <w:szCs w:val="3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2 composition notebooks (not spiral bound)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  <w:sz w:val="32"/>
          <w:szCs w:val="3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2 - 1 subject spiral notebooks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1 - 3 subject spiral notebook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two-pocket folders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one yellow, one blue, one red, one green, &amp; one of their choice)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SOFT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pencil pouch ( no plastic boxes please)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*O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ur space is limited, so please no binders or trapper keepers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☺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Donations for our classroom are always appreciated throughout the year as well: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tissues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colored wipe off markers thin tip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pencils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hand sanitizer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Thank you in advance!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See you in September!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Your 4th-grade teachers</w:t>
      </w:r>
    </w:p>
    <w:p w:rsidR="00000000" w:rsidDel="00000000" w:rsidP="00000000" w:rsidRDefault="00000000" w:rsidRPr="00000000" w14:paraId="0000001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Fuzzy Bubbles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line="240" w:lineRule="auto"/>
      <w:jc w:val="center"/>
      <w:rPr>
        <w:rFonts w:ascii="Arial" w:cs="Arial" w:eastAsia="Arial" w:hAnsi="Arial"/>
        <w:b w:val="1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sz w:val="48"/>
        <w:szCs w:val="48"/>
        <w:rtl w:val="0"/>
      </w:rPr>
      <w:t xml:space="preserve">2023-2024 School Year</w:t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rFonts w:ascii="Arial" w:cs="Arial" w:eastAsia="Arial" w:hAnsi="Arial"/>
        <w:b w:val="1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sz w:val="48"/>
        <w:szCs w:val="48"/>
        <w:rtl w:val="0"/>
      </w:rPr>
      <w:t xml:space="preserve">4th Grade Supply List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rong">
    <w:name w:val="Strong"/>
    <w:basedOn w:val="DefaultParagraphFont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uzzyBubbles-regular.ttf"/><Relationship Id="rId2" Type="http://schemas.openxmlformats.org/officeDocument/2006/relationships/font" Target="fonts/FuzzyBubbles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Rd9d21RDo1kkOu/uE9AScwERA==">CgMxLjA4AHIhMUZVV2Q1azNEeDR4N1hXLVBaaHFQa3A4U0c2d1NaNGoy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2018-09-06T14:48:00Z</dcterms:created>
  <dc:creator>jaclynsharkey</dc:creator>
</cp:coreProperties>
</file>